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D9E75"/>
          <w:sz w:val="18"/>
          <w:szCs w:val="18"/>
        </w:rPr>
        <w:t xml:space="preserve">MEDFLOWX · FREE TEMPLATE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A2B2A"/>
          <w:sz w:val="48"/>
          <w:szCs w:val="48"/>
        </w:rPr>
        <w:t xml:space="preserve">Dental Marketing Plan Template</w:t>
      </w:r>
    </w:p>
    <w:p>
      <w:pPr>
        <w:spacing w:after="120"/>
      </w:pPr>
      <w:r>
        <w:rPr>
          <w:rFonts w:ascii="Calibri" w:cs="Calibri" w:eastAsia="Calibri" w:hAnsi="Calibri"/>
          <w:color w:val="5B6B69"/>
          <w:sz w:val="21"/>
          <w:szCs w:val="21"/>
        </w:rPr>
        <w:t xml:space="preserve">A six-section, one-page-per-section plan you fill in with your own practice numbers and review monthly. If a section takes more than 20 minutes to complete, it is too complex.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Practice name: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Plan owner (named person):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Plan period (90 days):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Monthly review date: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A2B2A"/>
          <w:sz w:val="24"/>
          <w:szCs w:val="24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A2B2A"/>
          <w:sz w:val="21"/>
          <w:szCs w:val="21"/>
        </w:rPr>
        <w:t xml:space="preserve">Replace every grey italic example row with your own numbers.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A2B2A"/>
          <w:sz w:val="21"/>
          <w:szCs w:val="21"/>
        </w:rPr>
        <w:t xml:space="preserve">Complete Section 1 first. Every other section depends on your patient math.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1A2B2A"/>
          <w:sz w:val="21"/>
          <w:szCs w:val="21"/>
        </w:rPr>
        <w:t xml:space="preserve">Review the Section 6 scorecard on the same day every month and update the Section 3 budget tracker at the same time.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  <w:b/>
          <w:bCs/>
          <w:color w:val="1D9E75"/>
          <w:sz w:val="32"/>
          <w:szCs w:val="32"/>
        </w:rPr>
        <w:t xml:space="preserve">Section 1 — Patient Math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69"/>
          <w:sz w:val="19"/>
          <w:szCs w:val="19"/>
        </w:rPr>
        <w:t xml:space="preserve">Average patient value by procedure, new patients needed to hit your monthly revenue goal, and the maximum cost per acquisition (CPA) you can afford per treatment.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1400"/>
        <w:gridCol w:w="1300"/>
        <w:gridCol w:w="1100"/>
        <w:gridCol w:w="1430"/>
        <w:gridCol w:w="1430"/>
      </w:tblGrid>
      <w:tr>
        <w:trPr>
          <w:tblHeader/>
        </w:trPr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Treatment</w:t>
            </w:r>
          </w:p>
        </w:tc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Avg. case value</w:t>
            </w:r>
          </w:p>
        </w:tc>
        <w:tc>
          <w:tcPr>
            <w:tcW w:type="dxa" w:w="14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New patients needed / month</w:t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Revenue goal</w:t>
            </w:r>
          </w:p>
        </w:tc>
        <w:tc>
          <w:tcPr>
            <w:tcW w:type="dxa" w:w="11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Max CPA</w:t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Current CPA (Ads)</w:t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Current CPA (SEO)</w:t>
            </w:r>
          </w:p>
        </w:tc>
      </w:tr>
      <w:tr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Dental implants</w:t>
            </w:r>
          </w:p>
        </w:tc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$4,500</w:t>
            </w:r>
          </w:p>
        </w:tc>
        <w:tc>
          <w:tcPr>
            <w:tcW w:type="dxa" w:w="14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10</w:t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$45,000</w:t>
            </w:r>
          </w:p>
        </w:tc>
        <w:tc>
          <w:tcPr>
            <w:tcW w:type="dxa" w:w="11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$500</w:t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$340</w:t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$87</w:t>
            </w:r>
          </w:p>
        </w:tc>
      </w:tr>
      <w:tr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4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</w:tbl>
    <w:p>
      <w:pPr>
        <w:pBdr>
          <w:left w:val="single" w:color="1D9E75" w:sz="18" w:space="8"/>
        </w:pBdr>
        <w:spacing w:after="200" w:before="120"/>
      </w:pPr>
      <w:r>
        <w:rPr>
          <w:rFonts w:ascii="Calibri" w:cs="Calibri" w:eastAsia="Calibri" w:hAnsi="Calibri"/>
          <w:b/>
          <w:bCs/>
          <w:color w:val="1D9E75"/>
          <w:sz w:val="19"/>
          <w:szCs w:val="19"/>
        </w:rPr>
        <w:t xml:space="preserve">Why it works: </w:t>
      </w:r>
      <w:r>
        <w:rPr>
          <w:rFonts w:ascii="Calibri" w:cs="Calibri" w:eastAsia="Calibri" w:hAnsi="Calibri"/>
          <w:color w:val="5B6B69"/>
          <w:sz w:val="19"/>
          <w:szCs w:val="19"/>
        </w:rPr>
        <w:t xml:space="preserve">When you see your own numbers in this format, the marketing budget stops feeling like an expense and starts feeling like arithmetic.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  <w:b/>
          <w:bCs/>
          <w:color w:val="1D9E75"/>
          <w:sz w:val="32"/>
          <w:szCs w:val="32"/>
        </w:rPr>
        <w:t xml:space="preserve">Section 2 — 90-Day Calendar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69"/>
          <w:sz w:val="19"/>
          <w:szCs w:val="19"/>
        </w:rPr>
        <w:t xml:space="preserve">Specific weeks with specific actions, not quarters. Each row gets an owner and a done/not-done status.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660"/>
        <w:gridCol w:w="1900"/>
        <w:gridCol w:w="1500"/>
      </w:tblGrid>
      <w:tr>
        <w:trPr>
          <w:tblHeader/>
        </w:trP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Week of</w:t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Apr 22</w:t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Update GBP service categories and post 3 photos</w:t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Front desk lead</w:t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Done</w:t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Apr 29</w:t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Launch review campaign + front desk training</w:t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Office manager</w:t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In progress</w:t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46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</w:tbl>
    <w:p>
      <w:pPr>
        <w:pBdr>
          <w:left w:val="single" w:color="1D9E75" w:sz="18" w:space="8"/>
        </w:pBdr>
        <w:spacing w:after="200" w:before="120"/>
      </w:pPr>
      <w:r>
        <w:rPr>
          <w:rFonts w:ascii="Calibri" w:cs="Calibri" w:eastAsia="Calibri" w:hAnsi="Calibri"/>
          <w:b/>
          <w:bCs/>
          <w:color w:val="1D9E75"/>
          <w:sz w:val="19"/>
          <w:szCs w:val="19"/>
        </w:rPr>
        <w:t xml:space="preserve">Why it works: </w:t>
      </w:r>
      <w:r>
        <w:rPr>
          <w:rFonts w:ascii="Calibri" w:cs="Calibri" w:eastAsia="Calibri" w:hAnsi="Calibri"/>
          <w:color w:val="5B6B69"/>
          <w:sz w:val="19"/>
          <w:szCs w:val="19"/>
        </w:rPr>
        <w:t xml:space="preserve">Quarterly goals create the illusion of planning. A specific week with a specific action can be checked off, or explained when it is not.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  <w:b/>
          <w:bCs/>
          <w:color w:val="1D9E75"/>
          <w:sz w:val="32"/>
          <w:szCs w:val="32"/>
        </w:rPr>
        <w:t xml:space="preserve">Section 3 — Budget Tracker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69"/>
          <w:sz w:val="19"/>
          <w:szCs w:val="19"/>
        </w:rPr>
        <w:t xml:space="preserve">Update monthly. Channel, budget, leads, cost per lead, status. Nothing more.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790"/>
        <w:gridCol w:w="1790"/>
        <w:gridCol w:w="1790"/>
        <w:gridCol w:w="1790"/>
      </w:tblGrid>
      <w:tr>
        <w:trPr>
          <w:tblHeader/>
        </w:trPr>
        <w:tc>
          <w:tcPr>
            <w:tcW w:type="dxa" w:w="2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Channel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Monthly budget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Leads generated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Cost per lead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Status (↑ ↓ →)</w:t>
            </w:r>
          </w:p>
        </w:tc>
      </w:tr>
      <w:tr>
        <w:tc>
          <w:tcPr>
            <w:tcW w:type="dxa" w:w="2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SEO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$2,750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22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$125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↑ improving</w:t>
            </w:r>
          </w:p>
        </w:tc>
      </w:tr>
      <w:tr>
        <w:tc>
          <w:tcPr>
            <w:tcW w:type="dxa" w:w="2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Google Ads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$3,400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10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$340</w:t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→ flat</w:t>
            </w:r>
          </w:p>
        </w:tc>
      </w:tr>
      <w:tr>
        <w:tc>
          <w:tcPr>
            <w:tcW w:type="dxa" w:w="2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79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</w:tbl>
    <w:p>
      <w:pPr>
        <w:pBdr>
          <w:left w:val="single" w:color="1D9E75" w:sz="18" w:space="8"/>
        </w:pBdr>
        <w:spacing w:after="200" w:before="120"/>
      </w:pPr>
      <w:r>
        <w:rPr>
          <w:rFonts w:ascii="Calibri" w:cs="Calibri" w:eastAsia="Calibri" w:hAnsi="Calibri"/>
          <w:b/>
          <w:bCs/>
          <w:color w:val="1D9E75"/>
          <w:sz w:val="19"/>
          <w:szCs w:val="19"/>
        </w:rPr>
        <w:t xml:space="preserve">Why it works: </w:t>
      </w:r>
      <w:r>
        <w:rPr>
          <w:rFonts w:ascii="Calibri" w:cs="Calibri" w:eastAsia="Calibri" w:hAnsi="Calibri"/>
          <w:color w:val="5B6B69"/>
          <w:sz w:val="19"/>
          <w:szCs w:val="19"/>
        </w:rPr>
        <w:t xml:space="preserve">When SEO shows $125/lead and Google Ads shows $340/lead side by side, the budget reallocation decision makes itself.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  <w:b/>
          <w:bCs/>
          <w:color w:val="1D9E75"/>
          <w:sz w:val="32"/>
          <w:szCs w:val="32"/>
        </w:rPr>
        <w:t xml:space="preserve">Section 4 — Review Response Protocol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Named person who responds to reviews: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Response time target (recommended: under 24 hours):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1A2B2A"/>
          <w:sz w:val="24"/>
          <w:szCs w:val="24"/>
        </w:rPr>
        <w:t xml:space="preserve">Response templates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5-star review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69"/>
          <w:sz w:val="19"/>
          <w:szCs w:val="19"/>
        </w:rPr>
        <w:t xml:space="preserve">Guide: Thank the patient by first name, mention the treatment or team member if they did, invite them back.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Your template: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3-star review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69"/>
          <w:sz w:val="19"/>
          <w:szCs w:val="19"/>
        </w:rPr>
        <w:t xml:space="preserve">Guide: Thank them, acknowledge the specific issue, explain what you are changing, and offer a direct contact.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Your template: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1-star review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69"/>
          <w:sz w:val="19"/>
          <w:szCs w:val="19"/>
        </w:rPr>
        <w:t xml:space="preserve">Guide: Stay calm and brief, do not confirm they are a patient or discuss treatment details, and move the conversation offline with a direct phone number.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Your template: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A2B2A"/>
          <w:sz w:val="21"/>
          <w:szCs w:val="21"/>
        </w:rPr>
        <w:t xml:space="preserve">  </w:t>
      </w:r>
      <w:r>
        <w:rPr>
          <w:color w:val="9AA8A6"/>
          <w:sz w:val="21"/>
          <w:szCs w:val="21"/>
        </w:rPr>
        <w:t xml:space="preserve">______________________________________________</w:t>
      </w:r>
    </w:p>
    <w:p>
      <w:pPr>
        <w:pBdr>
          <w:left w:val="single" w:color="1D9E75" w:sz="18" w:space="8"/>
        </w:pBdr>
        <w:spacing w:after="200" w:before="120"/>
      </w:pPr>
      <w:r>
        <w:rPr>
          <w:rFonts w:ascii="Calibri" w:cs="Calibri" w:eastAsia="Calibri" w:hAnsi="Calibri"/>
          <w:b/>
          <w:bCs/>
          <w:color w:val="1D9E75"/>
          <w:sz w:val="19"/>
          <w:szCs w:val="19"/>
        </w:rPr>
        <w:t xml:space="preserve">Why it works: </w:t>
      </w:r>
      <w:r>
        <w:rPr>
          <w:rFonts w:ascii="Calibri" w:cs="Calibri" w:eastAsia="Calibri" w:hAnsi="Calibri"/>
          <w:color w:val="5B6B69"/>
          <w:sz w:val="19"/>
          <w:szCs w:val="19"/>
        </w:rPr>
        <w:t xml:space="preserve">Without a named person and a template, reviews go unanswered for weeks. With a protocol, the front desk knows exactly what to do.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  <w:b/>
          <w:bCs/>
          <w:color w:val="1D9E75"/>
          <w:sz w:val="32"/>
          <w:szCs w:val="32"/>
        </w:rPr>
        <w:t xml:space="preserve">Section 5 — Content Calendar (3 months only)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B6B69"/>
          <w:sz w:val="19"/>
          <w:szCs w:val="19"/>
        </w:rPr>
        <w:t xml:space="preserve">Two posts per month: one educational (answers a patient question), one case study or result.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530"/>
        <w:gridCol w:w="3330"/>
        <w:gridCol w:w="1300"/>
      </w:tblGrid>
      <w:tr>
        <w:trPr>
          <w:tblHeader/>
        </w:trPr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Month</w:t>
            </w:r>
          </w:p>
        </w:tc>
        <w:tc>
          <w:tcPr>
            <w:tcW w:type="dxa" w:w="35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Educational post (patient question)</w:t>
            </w:r>
          </w:p>
        </w:tc>
        <w:tc>
          <w:tcPr>
            <w:tcW w:type="dxa" w:w="33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Case study / result post</w:t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Published?</w:t>
            </w:r>
          </w:p>
        </w:tc>
      </w:tr>
      <w:tr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Month 1</w:t>
            </w:r>
          </w:p>
        </w:tc>
        <w:tc>
          <w:tcPr>
            <w:tcW w:type="dxa" w:w="35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How much do dental implants cost?</w:t>
            </w:r>
          </w:p>
        </w:tc>
        <w:tc>
          <w:tcPr>
            <w:tcW w:type="dxa" w:w="33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Before/after: full-arch implant case</w:t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Yes</w:t>
            </w:r>
          </w:p>
        </w:tc>
      </w:tr>
      <w:tr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5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3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5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3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5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3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5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3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5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333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FFFF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A2B2A"/>
                <w:sz w:val="19"/>
                <w:szCs w:val="19"/>
              </w:rPr>
              <w:t xml:space="preserve"/>
            </w:r>
          </w:p>
        </w:tc>
      </w:tr>
    </w:tbl>
    <w:p>
      <w:pPr>
        <w:pBdr>
          <w:left w:val="single" w:color="1D9E75" w:sz="18" w:space="8"/>
        </w:pBdr>
        <w:spacing w:after="200" w:before="120"/>
      </w:pPr>
      <w:r>
        <w:rPr>
          <w:rFonts w:ascii="Calibri" w:cs="Calibri" w:eastAsia="Calibri" w:hAnsi="Calibri"/>
          <w:b/>
          <w:bCs/>
          <w:color w:val="1D9E75"/>
          <w:sz w:val="19"/>
          <w:szCs w:val="19"/>
        </w:rPr>
        <w:t xml:space="preserve">Why it works: </w:t>
      </w:r>
      <w:r>
        <w:rPr>
          <w:rFonts w:ascii="Calibri" w:cs="Calibri" w:eastAsia="Calibri" w:hAnsi="Calibri"/>
          <w:color w:val="5B6B69"/>
          <w:sz w:val="19"/>
          <w:szCs w:val="19"/>
        </w:rPr>
        <w:t xml:space="preserve">Two posts per month is achievable without a content team. Achievable beats ambitious every time.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  <w:b/>
          <w:bCs/>
          <w:color w:val="1D9E75"/>
          <w:sz w:val="32"/>
          <w:szCs w:val="32"/>
        </w:rPr>
        <w:t xml:space="preserve">Section 6 — Monthly Scorecard (5 metrics max)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60"/>
        <w:gridCol w:w="1800"/>
        <w:gridCol w:w="1800"/>
        <w:gridCol w:w="1800"/>
      </w:tblGrid>
      <w:tr>
        <w:trPr>
          <w:tblHeader/>
        </w:trPr>
        <w:tc>
          <w:tcPr>
            <w:tcW w:type="dxa" w:w="39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Metric</w:t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Month 1</w:t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Month 2</w:t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1D9E7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Month 3</w:t>
            </w:r>
          </w:p>
        </w:tc>
      </w:tr>
      <w:tr>
        <w:tc>
          <w:tcPr>
            <w:tcW w:type="dxa" w:w="39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New patients from Google</w:t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Cost per acquisition</w:t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Total reviews / star rating</w:t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Website conversion rate (visitors → contact)</w:t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96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>Revenue attributable to marketing</w:t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6D3" w:sz="4"/>
              <w:left w:val="single" w:color="C9D6D3" w:sz="4"/>
              <w:bottom w:val="single" w:color="C9D6D3" w:sz="4"/>
              <w:right w:val="single" w:color="C9D6D3" w:sz="4"/>
            </w:tcBorders>
            <w:shd w:fill="E8F5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B6B69"/>
                <w:sz w:val="19"/>
                <w:szCs w:val="19"/>
              </w:rPr>
              <w:t xml:space="preserve"/>
            </w:r>
          </w:p>
        </w:tc>
      </w:tr>
    </w:tbl>
    <w:p>
      <w:pPr>
        <w:pBdr>
          <w:left w:val="single" w:color="1D9E75" w:sz="18" w:space="8"/>
        </w:pBdr>
        <w:spacing w:after="200" w:before="120"/>
      </w:pPr>
      <w:r>
        <w:rPr>
          <w:rFonts w:ascii="Calibri" w:cs="Calibri" w:eastAsia="Calibri" w:hAnsi="Calibri"/>
          <w:b/>
          <w:bCs/>
          <w:color w:val="1D9E75"/>
          <w:sz w:val="19"/>
          <w:szCs w:val="19"/>
        </w:rPr>
        <w:t xml:space="preserve">Why it works: </w:t>
      </w:r>
      <w:r>
        <w:rPr>
          <w:rFonts w:ascii="Calibri" w:cs="Calibri" w:eastAsia="Calibri" w:hAnsi="Calibri"/>
          <w:color w:val="5B6B69"/>
          <w:sz w:val="19"/>
          <w:szCs w:val="19"/>
        </w:rPr>
        <w:t xml:space="preserve">If you track 20 metrics, you effectively track none. Five numbers reviewed monthly make problems visible before they become crises.</w:t>
      </w:r>
    </w:p>
    <w:p>
      <w:pPr>
        <w:spacing w:after="80" w:before="360"/>
      </w:pPr>
      <w:r>
        <w:rPr>
          <w:rFonts w:ascii="Calibri" w:cs="Calibri" w:eastAsia="Calibri" w:hAnsi="Calibri"/>
          <w:b/>
          <w:bCs/>
          <w:color w:val="1D9E75"/>
          <w:sz w:val="24"/>
          <w:szCs w:val="24"/>
        </w:rPr>
        <w:t xml:space="preserve">Want this plan filled in with your real market data?</w:t>
      </w:r>
    </w:p>
    <w:p>
      <w:r>
        <w:rPr>
          <w:rFonts w:ascii="Calibri" w:cs="Calibri" w:eastAsia="Calibri" w:hAnsi="Calibri"/>
          <w:color w:val="1A2B2A"/>
          <w:sz w:val="21"/>
          <w:szCs w:val="21"/>
        </w:rPr>
        <w:t xml:space="preserve">The free MedFlowX audit shows your rankings, competitor gaps and realistic patient numbers for your city: </w:t>
      </w:r>
      <w:hyperlink w:history="1" r:id="rId0qfvpto_jxqvohrvgbfhw">
        <w:r>
          <w:rPr>
            <w:rStyle w:val="Hyperlink"/>
            <w:rFonts w:ascii="Calibri" w:cs="Calibri" w:eastAsia="Calibri" w:hAnsi="Calibri"/>
            <w:sz w:val="21"/>
            <w:szCs w:val="21"/>
          </w:rPr>
          <w:t xml:space="preserve">medflowx.com/free-dental-seo-audit</w:t>
        </w:r>
      </w:hyperlink>
    </w:p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A8A6"/>
        <w:sz w:val="16"/>
        <w:szCs w:val="16"/>
      </w:rPr>
      <w:t xml:space="preserve">Dental Marketing Plan Template · MedFlowX · medflowx.com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fvpto_jxqvohrvgbfhw" Type="http://schemas.openxmlformats.org/officeDocument/2006/relationships/hyperlink" Target="https://medflowx.com/free-dental-seo-audit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Marketing Plan Template</dc:title>
  <dc:creator>MedFlowX</dc:creator>
  <dc:description>Free dental marketing plan template from MedFlowX</dc:description>
  <cp:lastModifiedBy>Un-named</cp:lastModifiedBy>
  <cp:revision>1</cp:revision>
  <dcterms:created xsi:type="dcterms:W3CDTF">2026-09-23T15:30:58.284Z</dcterms:created>
  <dcterms:modified xsi:type="dcterms:W3CDTF">2026-09-23T15:30:58.284Z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